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55D" w:rsidRPr="00400B94" w:rsidRDefault="005A555D" w:rsidP="005A555D">
      <w:pPr>
        <w:rPr>
          <w:b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 xml:space="preserve">Synthèse de l’évaluation du document d’engagement de </w:t>
      </w:r>
      <w:r w:rsidR="008C5D21">
        <w:rPr>
          <w:b/>
          <w:color w:val="4F81BD" w:themeColor="accent1"/>
          <w:sz w:val="28"/>
          <w:szCs w:val="28"/>
        </w:rPr>
        <w:t>la FFESSM</w:t>
      </w:r>
    </w:p>
    <w:p w:rsidR="008C5D21" w:rsidRDefault="003A20A5" w:rsidP="008C5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 </w:t>
      </w:r>
      <w:r w:rsidR="008C5D21">
        <w:t>La « Fédération Française d’Etudes et de Sports Sous-Marins » (FFESSM), fondée en 195</w:t>
      </w:r>
      <w:r w:rsidR="008C5D21">
        <w:t xml:space="preserve">5 et déclarée conformément à la </w:t>
      </w:r>
      <w:r w:rsidR="008C5D21">
        <w:t>loi du 1er juillet 1901, a pour objet la pratique de toutes les activités et sports</w:t>
      </w:r>
    </w:p>
    <w:p w:rsidR="005A555D" w:rsidRDefault="008C5D21" w:rsidP="008C5D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proofErr w:type="gramStart"/>
      <w:r>
        <w:t>subaquatiques</w:t>
      </w:r>
      <w:proofErr w:type="gramEnd"/>
      <w:r>
        <w:t xml:space="preserve"> associées ou connexes, notamment la nage avec accessoires. El</w:t>
      </w:r>
      <w:r>
        <w:t xml:space="preserve">le favorise par tous les moyens </w:t>
      </w:r>
      <w:r>
        <w:t>appropriés, sur le plan sportif, artistique, culturel ou scientifique, la connaissance, l’étu</w:t>
      </w:r>
      <w:r>
        <w:t xml:space="preserve">de et la protection du monde et </w:t>
      </w:r>
      <w:r>
        <w:t>du patrimoine subaquatique et des milieux aquatiques en général.</w:t>
      </w:r>
    </w:p>
    <w:p w:rsidR="003A20A5" w:rsidRDefault="003A20A5" w:rsidP="00A708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19"/>
        <w:jc w:val="both"/>
      </w:pPr>
    </w:p>
    <w:p w:rsidR="00A708D3" w:rsidRDefault="005A555D" w:rsidP="00A708D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19"/>
        <w:jc w:val="both"/>
      </w:pPr>
      <w:r w:rsidRPr="00820987">
        <w:t xml:space="preserve">Le document d’engagement </w:t>
      </w:r>
      <w:r w:rsidR="008C5D21">
        <w:t>de la FFESSM</w:t>
      </w:r>
      <w:r w:rsidRPr="00820987">
        <w:t xml:space="preserve"> est recevable. </w:t>
      </w:r>
      <w:r w:rsidR="00B444CD">
        <w:t>L’</w:t>
      </w:r>
      <w:r w:rsidR="003A20A5">
        <w:t>organisation a coché sept</w:t>
      </w:r>
      <w:r w:rsidR="00B444CD" w:rsidRPr="00820987">
        <w:t xml:space="preserve"> actions</w:t>
      </w:r>
      <w:r w:rsidR="00B444CD">
        <w:t xml:space="preserve"> de la 1</w:t>
      </w:r>
      <w:r w:rsidR="00B444CD" w:rsidRPr="008C4D39">
        <w:rPr>
          <w:vertAlign w:val="superscript"/>
        </w:rPr>
        <w:t>ère</w:t>
      </w:r>
      <w:r w:rsidR="00B444CD">
        <w:t xml:space="preserve"> section</w:t>
      </w:r>
      <w:r w:rsidR="00B444CD" w:rsidRPr="00820987">
        <w:t xml:space="preserve"> </w:t>
      </w:r>
      <w:r w:rsidR="00B444CD">
        <w:t>« B.</w:t>
      </w:r>
      <w:r w:rsidR="00B444CD" w:rsidRPr="00820987">
        <w:t>1. Sensibiliser les citoyens, les entreprises, les collectivités e</w:t>
      </w:r>
      <w:r w:rsidR="00B444CD">
        <w:t>t/ou les membres de mo</w:t>
      </w:r>
      <w:r w:rsidR="00133194">
        <w:t>n réseau», deux</w:t>
      </w:r>
      <w:r w:rsidR="00953755">
        <w:t xml:space="preserve"> action</w:t>
      </w:r>
      <w:r w:rsidR="003A20A5">
        <w:t>s</w:t>
      </w:r>
      <w:r w:rsidR="00B444CD">
        <w:t xml:space="preserve"> de la section « B.2. Accompagner vers l’action</w:t>
      </w:r>
      <w:r w:rsidR="003A20A5">
        <w:t xml:space="preserve"> », </w:t>
      </w:r>
      <w:r w:rsidR="00133194">
        <w:t>cinq</w:t>
      </w:r>
      <w:r w:rsidR="00953755">
        <w:t xml:space="preserve"> </w:t>
      </w:r>
      <w:r w:rsidR="00B444CD">
        <w:t>actions de la section « B.3. Capitaliser, partager et valoriser les bonnes pratiques »</w:t>
      </w:r>
      <w:r w:rsidR="00133194">
        <w:t xml:space="preserve"> et une</w:t>
      </w:r>
      <w:r w:rsidR="003A20A5">
        <w:t xml:space="preserve"> act</w:t>
      </w:r>
      <w:r w:rsidR="00133194">
        <w:t>ion</w:t>
      </w:r>
      <w:r w:rsidR="003A20A5">
        <w:t xml:space="preserve"> dans la section «</w:t>
      </w:r>
      <w:r w:rsidR="003A20A5" w:rsidRPr="003A20A5">
        <w:t>Favoriser la démultiplication des engagements dans le cadre de la</w:t>
      </w:r>
      <w:r w:rsidR="003A20A5">
        <w:t xml:space="preserve"> </w:t>
      </w:r>
      <w:r w:rsidR="003A20A5" w:rsidRPr="003A20A5">
        <w:t>démarche « partenaire engagé pour la nature »</w:t>
      </w:r>
      <w:r w:rsidR="00B444CD" w:rsidRPr="00820987">
        <w:t xml:space="preserve">. </w:t>
      </w:r>
    </w:p>
    <w:p w:rsidR="00B444CD" w:rsidRDefault="007C3777" w:rsidP="00B444C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19"/>
        <w:jc w:val="both"/>
      </w:pPr>
      <w:r>
        <w:t>Le</w:t>
      </w:r>
      <w:r w:rsidR="00B444CD" w:rsidRPr="00820987">
        <w:t xml:space="preserve"> projet d’engagement est coordonné par </w:t>
      </w:r>
      <w:r w:rsidR="00B444CD">
        <w:t>les i</w:t>
      </w:r>
      <w:r w:rsidR="00133194">
        <w:t xml:space="preserve">nstances décisionnaires de la Fédération </w:t>
      </w:r>
      <w:r w:rsidR="00B444CD" w:rsidRPr="00820987">
        <w:t xml:space="preserve">et celui-ci présente au moins un </w:t>
      </w:r>
      <w:r w:rsidR="00B444CD">
        <w:t>relecteur</w:t>
      </w:r>
      <w:r w:rsidR="00B444CD" w:rsidRPr="00820987">
        <w:t xml:space="preserve"> dans le cadre de l'évaluation par les pairs des dossiers d'engagement "parte</w:t>
      </w:r>
      <w:r w:rsidR="00B444CD">
        <w:t>naires engagés pour la nature",</w:t>
      </w:r>
      <w:r w:rsidR="00B444CD" w:rsidRPr="00820987">
        <w:t xml:space="preserve"> s'engage</w:t>
      </w:r>
      <w:r w:rsidR="00B444CD">
        <w:t>ant</w:t>
      </w:r>
      <w:r w:rsidR="00B444CD" w:rsidRPr="00820987">
        <w:t xml:space="preserve"> par ailleurs à examiner au moins deux dossiers PEN dans le cadre de l’évaluation par les pairs.</w:t>
      </w:r>
      <w:r>
        <w:t xml:space="preserve"> </w:t>
      </w:r>
    </w:p>
    <w:p w:rsidR="00B444CD" w:rsidRPr="00820987" w:rsidRDefault="00A708D3" w:rsidP="00953755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19"/>
        <w:jc w:val="both"/>
      </w:pPr>
      <w:r>
        <w:t>Les</w:t>
      </w:r>
      <w:r w:rsidR="00133194">
        <w:t xml:space="preserve"> quatre</w:t>
      </w:r>
      <w:r>
        <w:t xml:space="preserve"> actions proposées dans le plan d’action participent clairement de la </w:t>
      </w:r>
      <w:r w:rsidR="007C3777">
        <w:t xml:space="preserve">sensibilisation </w:t>
      </w:r>
      <w:r w:rsidR="00133194">
        <w:t>du grand public</w:t>
      </w:r>
      <w:r>
        <w:t xml:space="preserve"> pour </w:t>
      </w:r>
      <w:r w:rsidR="007C3777">
        <w:t>la biodiversité</w:t>
      </w:r>
      <w:r>
        <w:t xml:space="preserve"> </w:t>
      </w:r>
      <w:r w:rsidR="00133194">
        <w:t xml:space="preserve">et la mobilisation de ses membres pour la biodiversité. Son action de partage des connaissances est également fort intéressante en ce qu’elle s’inscrit dans une démarche de sciences participative et contribue à enrichir les bases de données scientifiques (on ne protège pas ce que l’on ne connait pas). </w:t>
      </w:r>
      <w:bookmarkStart w:id="0" w:name="_GoBack"/>
      <w:bookmarkEnd w:id="0"/>
    </w:p>
    <w:p w:rsidR="00B444CD" w:rsidRPr="00820987" w:rsidRDefault="00B444CD" w:rsidP="00B444CD">
      <w:pPr>
        <w:spacing w:after="119"/>
        <w:jc w:val="both"/>
      </w:pPr>
      <w:r w:rsidRPr="00820987">
        <w:t>L’analyse détaillée confirme également la recevabilité des engagements. Ceux-ci remplissent les objectifs d’implication, de cohérence et de proportionnalité</w:t>
      </w:r>
      <w:r>
        <w:t xml:space="preserve"> qui doivent transparaitre tout au long </w:t>
      </w:r>
      <w:r w:rsidRPr="00820987">
        <w:t xml:space="preserve">des engagements. </w:t>
      </w:r>
    </w:p>
    <w:p w:rsidR="00B444CD" w:rsidRPr="008B7232" w:rsidRDefault="00B444CD" w:rsidP="00B444CD">
      <w:pPr>
        <w:spacing w:after="119"/>
        <w:jc w:val="both"/>
      </w:pPr>
      <w:r w:rsidRPr="008B7232">
        <w:t xml:space="preserve">Enfin, </w:t>
      </w:r>
      <w:r w:rsidR="00953755">
        <w:t>ceux-ci</w:t>
      </w:r>
      <w:r w:rsidRPr="008B7232">
        <w:t xml:space="preserve"> sont conforme</w:t>
      </w:r>
      <w:r w:rsidR="00953755">
        <w:t>s au cadre de l’action publique</w:t>
      </w:r>
      <w:r>
        <w:t xml:space="preserve"> </w:t>
      </w:r>
      <w:r w:rsidRPr="008B7232">
        <w:t xml:space="preserve">et vont </w:t>
      </w:r>
      <w:r>
        <w:t>parfois au-delà</w:t>
      </w:r>
      <w:r w:rsidRPr="008B7232">
        <w:t xml:space="preserve"> du cadre législatif national qui concerne la préservation de la biodiversité. </w:t>
      </w:r>
    </w:p>
    <w:p w:rsidR="00471D50" w:rsidRDefault="00471D50" w:rsidP="00B444C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19"/>
        <w:jc w:val="both"/>
      </w:pPr>
    </w:p>
    <w:sectPr w:rsidR="0047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629"/>
    <w:multiLevelType w:val="hybridMultilevel"/>
    <w:tmpl w:val="BB38D5D0"/>
    <w:lvl w:ilvl="0" w:tplc="7E3E7E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5D"/>
    <w:rsid w:val="000372F9"/>
    <w:rsid w:val="00133194"/>
    <w:rsid w:val="00253369"/>
    <w:rsid w:val="003A20A5"/>
    <w:rsid w:val="00471D50"/>
    <w:rsid w:val="004723F6"/>
    <w:rsid w:val="004C1E9F"/>
    <w:rsid w:val="005A555D"/>
    <w:rsid w:val="00727EE6"/>
    <w:rsid w:val="007C3777"/>
    <w:rsid w:val="008C5D21"/>
    <w:rsid w:val="00953755"/>
    <w:rsid w:val="00A708D3"/>
    <w:rsid w:val="00AF2C2F"/>
    <w:rsid w:val="00B444CD"/>
    <w:rsid w:val="00E44BF5"/>
    <w:rsid w:val="00E610C6"/>
    <w:rsid w:val="00FA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5D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61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4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10C6"/>
    <w:rPr>
      <w:rFonts w:asciiTheme="majorHAnsi" w:eastAsiaTheme="majorEastAsia" w:hAnsiTheme="majorHAnsi" w:cstheme="majorBidi"/>
      <w:b/>
      <w:bCs/>
      <w:color w:val="4F6228" w:themeColor="accent3" w:themeShade="80"/>
      <w:sz w:val="48"/>
      <w:szCs w:val="28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E610C6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6228" w:themeColor="accent3" w:themeShade="80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610C6"/>
    <w:rPr>
      <w:rFonts w:asciiTheme="majorHAnsi" w:eastAsiaTheme="majorEastAsia" w:hAnsiTheme="majorHAnsi" w:cstheme="majorBidi"/>
      <w:b/>
      <w:i/>
      <w:iCs/>
      <w:color w:val="4F6228" w:themeColor="accent3" w:themeShade="80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A20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5D"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61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6228" w:themeColor="accent3" w:themeShade="80"/>
      <w:sz w:val="4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10C6"/>
    <w:rPr>
      <w:rFonts w:asciiTheme="majorHAnsi" w:eastAsiaTheme="majorEastAsia" w:hAnsiTheme="majorHAnsi" w:cstheme="majorBidi"/>
      <w:b/>
      <w:bCs/>
      <w:color w:val="4F6228" w:themeColor="accent3" w:themeShade="80"/>
      <w:sz w:val="48"/>
      <w:szCs w:val="28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E610C6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4F6228" w:themeColor="accent3" w:themeShade="80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610C6"/>
    <w:rPr>
      <w:rFonts w:asciiTheme="majorHAnsi" w:eastAsiaTheme="majorEastAsia" w:hAnsiTheme="majorHAnsi" w:cstheme="majorBidi"/>
      <w:b/>
      <w:i/>
      <w:iCs/>
      <w:color w:val="4F6228" w:themeColor="accent3" w:themeShade="80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A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Onema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Culot</dc:creator>
  <cp:lastModifiedBy>Marguerite Culot</cp:lastModifiedBy>
  <cp:revision>3</cp:revision>
  <dcterms:created xsi:type="dcterms:W3CDTF">2021-03-15T14:41:00Z</dcterms:created>
  <dcterms:modified xsi:type="dcterms:W3CDTF">2021-03-15T14:49:00Z</dcterms:modified>
</cp:coreProperties>
</file>